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875" w:rsidRDefault="004A0875" w:rsidP="004A0875">
      <w:pPr>
        <w:pStyle w:val="Heading1"/>
        <w:spacing w:before="120" w:line="240" w:lineRule="auto"/>
        <w:jc w:val="center"/>
      </w:pPr>
      <w:r>
        <w:t xml:space="preserve">POSITION STATEMENT 2 </w:t>
      </w:r>
    </w:p>
    <w:p w:rsidR="0066169F" w:rsidRDefault="004A0875" w:rsidP="004A0875">
      <w:pPr>
        <w:pStyle w:val="Heading1"/>
        <w:spacing w:before="120" w:line="240" w:lineRule="auto"/>
        <w:jc w:val="center"/>
        <w:rPr>
          <w:u w:val="single"/>
        </w:rPr>
      </w:pPr>
      <w:r>
        <w:rPr>
          <w:u w:val="single"/>
        </w:rPr>
        <w:t>ANTI</w:t>
      </w:r>
      <w:r w:rsidR="0066169F" w:rsidRPr="004A0875">
        <w:rPr>
          <w:u w:val="single"/>
        </w:rPr>
        <w:t>-D</w:t>
      </w:r>
      <w:r>
        <w:rPr>
          <w:u w:val="single"/>
        </w:rPr>
        <w:t>ISCRIMINATION AND HARASSMENT</w:t>
      </w:r>
    </w:p>
    <w:p w:rsidR="004A0875" w:rsidRPr="004946F5" w:rsidRDefault="004A0875" w:rsidP="004A0875"/>
    <w:p w:rsidR="0066169F" w:rsidRPr="004946F5" w:rsidRDefault="0066169F" w:rsidP="004946F5">
      <w:pPr>
        <w:jc w:val="both"/>
        <w:rPr>
          <w:rFonts w:cs="Calibri"/>
          <w:sz w:val="24"/>
          <w:szCs w:val="24"/>
        </w:rPr>
      </w:pPr>
      <w:r w:rsidRPr="004946F5">
        <w:rPr>
          <w:rFonts w:cs="Calibri"/>
          <w:sz w:val="24"/>
          <w:szCs w:val="24"/>
        </w:rPr>
        <w:t>Seacliff Hockey Club opposes all forms of harassment, discrimination and bullying. This</w:t>
      </w:r>
      <w:r w:rsidR="007A141A" w:rsidRPr="004946F5">
        <w:rPr>
          <w:rFonts w:cs="Calibri"/>
          <w:sz w:val="24"/>
          <w:szCs w:val="24"/>
        </w:rPr>
        <w:t xml:space="preserve"> </w:t>
      </w:r>
      <w:r w:rsidRPr="004946F5">
        <w:rPr>
          <w:rFonts w:cs="Calibri"/>
          <w:sz w:val="24"/>
          <w:szCs w:val="24"/>
        </w:rPr>
        <w:t>includes treating or proposing to treat someone less favourably because of a</w:t>
      </w:r>
      <w:r w:rsidR="007A141A" w:rsidRPr="004946F5">
        <w:rPr>
          <w:rFonts w:cs="Calibri"/>
          <w:sz w:val="24"/>
          <w:szCs w:val="24"/>
        </w:rPr>
        <w:t xml:space="preserve"> </w:t>
      </w:r>
      <w:r w:rsidRPr="004946F5">
        <w:rPr>
          <w:rFonts w:cs="Calibri"/>
          <w:sz w:val="24"/>
          <w:szCs w:val="24"/>
        </w:rPr>
        <w:t>particular characteristic; imposing or intending to impose an unreasonable</w:t>
      </w:r>
      <w:r w:rsidR="007A141A" w:rsidRPr="004946F5">
        <w:rPr>
          <w:rFonts w:cs="Calibri"/>
          <w:sz w:val="24"/>
          <w:szCs w:val="24"/>
        </w:rPr>
        <w:t xml:space="preserve"> </w:t>
      </w:r>
      <w:r w:rsidRPr="004946F5">
        <w:rPr>
          <w:rFonts w:cs="Calibri"/>
          <w:sz w:val="24"/>
          <w:szCs w:val="24"/>
        </w:rPr>
        <w:t>requirement, condition or practice which has an unequal or disproportionate effect</w:t>
      </w:r>
      <w:r w:rsidR="007A141A" w:rsidRPr="004946F5">
        <w:rPr>
          <w:rFonts w:cs="Calibri"/>
          <w:sz w:val="24"/>
          <w:szCs w:val="24"/>
        </w:rPr>
        <w:t xml:space="preserve"> </w:t>
      </w:r>
      <w:r w:rsidRPr="004946F5">
        <w:rPr>
          <w:rFonts w:cs="Calibri"/>
          <w:sz w:val="24"/>
          <w:szCs w:val="24"/>
        </w:rPr>
        <w:t>on people with a particular characteristic; or any behaviour that is offensive, abusive,</w:t>
      </w:r>
      <w:r w:rsidR="007A141A" w:rsidRPr="004946F5">
        <w:rPr>
          <w:rFonts w:cs="Calibri"/>
          <w:sz w:val="24"/>
          <w:szCs w:val="24"/>
        </w:rPr>
        <w:t xml:space="preserve"> </w:t>
      </w:r>
      <w:r w:rsidRPr="004946F5">
        <w:rPr>
          <w:rFonts w:cs="Calibri"/>
          <w:sz w:val="24"/>
          <w:szCs w:val="24"/>
        </w:rPr>
        <w:t>belittling, intimidating or threatening – whether this is face-to-face, indirectly or via</w:t>
      </w:r>
      <w:r w:rsidR="007A141A" w:rsidRPr="004946F5">
        <w:rPr>
          <w:rFonts w:cs="Calibri"/>
          <w:sz w:val="24"/>
          <w:szCs w:val="24"/>
        </w:rPr>
        <w:t xml:space="preserve"> </w:t>
      </w:r>
      <w:r w:rsidRPr="004946F5">
        <w:rPr>
          <w:rFonts w:cs="Calibri"/>
          <w:sz w:val="24"/>
          <w:szCs w:val="24"/>
        </w:rPr>
        <w:t>communication technologies such as mobile phone and computers. Some forms of</w:t>
      </w:r>
      <w:r w:rsidR="007A141A" w:rsidRPr="004946F5">
        <w:rPr>
          <w:rFonts w:cs="Calibri"/>
          <w:sz w:val="24"/>
          <w:szCs w:val="24"/>
        </w:rPr>
        <w:t xml:space="preserve"> </w:t>
      </w:r>
      <w:r w:rsidRPr="004946F5">
        <w:rPr>
          <w:rFonts w:cs="Calibri"/>
          <w:sz w:val="24"/>
          <w:szCs w:val="24"/>
        </w:rPr>
        <w:t>harassment, discrimination and bullying, based on personal characteristics such as</w:t>
      </w:r>
      <w:r w:rsidR="007A141A" w:rsidRPr="004946F5">
        <w:rPr>
          <w:rFonts w:cs="Calibri"/>
          <w:sz w:val="24"/>
          <w:szCs w:val="24"/>
        </w:rPr>
        <w:t xml:space="preserve"> </w:t>
      </w:r>
      <w:r w:rsidRPr="004946F5">
        <w:rPr>
          <w:rFonts w:cs="Calibri"/>
          <w:sz w:val="24"/>
          <w:szCs w:val="24"/>
        </w:rPr>
        <w:t xml:space="preserve">those listed </w:t>
      </w:r>
      <w:r w:rsidR="007A141A" w:rsidRPr="004946F5">
        <w:rPr>
          <w:rFonts w:cs="Calibri"/>
          <w:sz w:val="24"/>
          <w:szCs w:val="24"/>
        </w:rPr>
        <w:t>below</w:t>
      </w:r>
      <w:r w:rsidRPr="004946F5">
        <w:rPr>
          <w:rFonts w:cs="Calibri"/>
          <w:sz w:val="24"/>
          <w:szCs w:val="24"/>
        </w:rPr>
        <w:t>, are against the law.</w:t>
      </w:r>
    </w:p>
    <w:p w:rsidR="004F592A" w:rsidRPr="004946F5" w:rsidRDefault="006A2416" w:rsidP="006A2416">
      <w:pPr>
        <w:jc w:val="both"/>
        <w:rPr>
          <w:rFonts w:cs="Calibri"/>
          <w:sz w:val="24"/>
          <w:szCs w:val="24"/>
        </w:rPr>
      </w:pPr>
      <w:r w:rsidRPr="004946F5">
        <w:rPr>
          <w:rFonts w:cs="Calibri"/>
          <w:sz w:val="24"/>
          <w:szCs w:val="24"/>
        </w:rPr>
        <w:t xml:space="preserve">Bullying and harassment in all forms is regarded by Seacliff Hockey Club as unacceptable. </w:t>
      </w:r>
    </w:p>
    <w:p w:rsidR="006A2416" w:rsidRPr="004946F5" w:rsidRDefault="006A2416" w:rsidP="006A2416">
      <w:pPr>
        <w:jc w:val="both"/>
        <w:rPr>
          <w:rFonts w:cs="Calibri"/>
          <w:sz w:val="24"/>
          <w:szCs w:val="24"/>
        </w:rPr>
      </w:pPr>
      <w:r w:rsidRPr="004946F5">
        <w:rPr>
          <w:rFonts w:cs="Calibri"/>
          <w:sz w:val="24"/>
          <w:szCs w:val="24"/>
        </w:rPr>
        <w:t xml:space="preserve">Given the emergence of new telephone and internet social networks, the opportunity for unwanted and improper comments and statements has dramatically increased. Messages or statements made in these ways using these means of communication are largely instantaneous, and can easily be abused. Others may also manipulate a person by encouraging a statement to be made on twitter or </w:t>
      </w:r>
      <w:proofErr w:type="spellStart"/>
      <w:r w:rsidRPr="004946F5">
        <w:rPr>
          <w:rFonts w:cs="Calibri"/>
          <w:sz w:val="24"/>
          <w:szCs w:val="24"/>
        </w:rPr>
        <w:t>facebook</w:t>
      </w:r>
      <w:proofErr w:type="spellEnd"/>
      <w:r w:rsidRPr="004946F5">
        <w:rPr>
          <w:rFonts w:cs="Calibri"/>
          <w:sz w:val="24"/>
          <w:szCs w:val="24"/>
        </w:rPr>
        <w:t xml:space="preserve">, for example, when the writer may be upset or vulnerable. Bullying has the potential to cause great anxiety and distress to the person who has been the target of any comments or statements. Frustration at a referee, team-mate, coach, </w:t>
      </w:r>
      <w:r w:rsidR="004946F5" w:rsidRPr="004946F5">
        <w:rPr>
          <w:rFonts w:cs="Calibri"/>
          <w:sz w:val="24"/>
          <w:szCs w:val="24"/>
        </w:rPr>
        <w:t xml:space="preserve">member of an opposition club, </w:t>
      </w:r>
      <w:r w:rsidRPr="004946F5">
        <w:rPr>
          <w:rFonts w:cs="Calibri"/>
          <w:sz w:val="24"/>
          <w:szCs w:val="24"/>
        </w:rPr>
        <w:t>or sporting body should never be communicated on social network channels, but rather by way of reasoned and logical verbal and written statements and where appropriate, via the complaints procedure.</w:t>
      </w:r>
      <w:r w:rsidR="004F592A" w:rsidRPr="004946F5">
        <w:rPr>
          <w:rFonts w:cs="Calibri"/>
          <w:sz w:val="24"/>
          <w:szCs w:val="24"/>
        </w:rPr>
        <w:t xml:space="preserve">  The Seacliff Hockey Club </w:t>
      </w:r>
      <w:r w:rsidR="004946F5" w:rsidRPr="004946F5">
        <w:rPr>
          <w:rFonts w:cs="Calibri"/>
          <w:sz w:val="24"/>
          <w:szCs w:val="24"/>
        </w:rPr>
        <w:t>h</w:t>
      </w:r>
      <w:r w:rsidR="004F592A" w:rsidRPr="004946F5">
        <w:rPr>
          <w:rFonts w:cs="Calibri"/>
          <w:sz w:val="24"/>
          <w:szCs w:val="24"/>
        </w:rPr>
        <w:t xml:space="preserve">as developed a </w:t>
      </w:r>
      <w:r w:rsidR="004F592A" w:rsidRPr="004946F5">
        <w:rPr>
          <w:rStyle w:val="Heading3Char"/>
          <w:rFonts w:asciiTheme="minorHAnsi" w:hAnsiTheme="minorHAnsi"/>
          <w:b w:val="0"/>
          <w:sz w:val="24"/>
          <w:szCs w:val="24"/>
        </w:rPr>
        <w:t>Social Networking Websites Policy</w:t>
      </w:r>
      <w:r w:rsidR="004F592A" w:rsidRPr="004946F5">
        <w:rPr>
          <w:rStyle w:val="Heading3Char"/>
          <w:rFonts w:asciiTheme="minorHAnsi" w:hAnsiTheme="minorHAnsi"/>
          <w:sz w:val="24"/>
          <w:szCs w:val="24"/>
        </w:rPr>
        <w:t>.</w:t>
      </w:r>
    </w:p>
    <w:p w:rsidR="006A2416" w:rsidRPr="004946F5" w:rsidRDefault="006A2416" w:rsidP="00D26CF8">
      <w:pPr>
        <w:jc w:val="both"/>
        <w:rPr>
          <w:rFonts w:cs="Calibri"/>
          <w:sz w:val="24"/>
          <w:szCs w:val="24"/>
        </w:rPr>
      </w:pPr>
      <w:r w:rsidRPr="004946F5">
        <w:rPr>
          <w:rFonts w:cs="Calibri"/>
          <w:sz w:val="24"/>
          <w:szCs w:val="24"/>
        </w:rPr>
        <w:t xml:space="preserve">If any person feels they are being harassed or discriminated against by another person or organisation bound by this policy, please refer to our </w:t>
      </w:r>
      <w:r w:rsidRPr="004946F5">
        <w:rPr>
          <w:rStyle w:val="Heading3Char"/>
          <w:rFonts w:asciiTheme="minorHAnsi" w:hAnsiTheme="minorHAnsi"/>
          <w:b w:val="0"/>
          <w:sz w:val="24"/>
          <w:szCs w:val="24"/>
        </w:rPr>
        <w:t>complaints procedure</w:t>
      </w:r>
      <w:r w:rsidRPr="004946F5">
        <w:rPr>
          <w:rFonts w:cs="Calibri"/>
          <w:sz w:val="24"/>
          <w:szCs w:val="24"/>
        </w:rPr>
        <w:t>. This will explain what to do about the behaviour and how Seacliff Hockey Club will deal with the problem.</w:t>
      </w:r>
    </w:p>
    <w:p w:rsidR="004946F5" w:rsidRPr="004946F5" w:rsidRDefault="004946F5">
      <w:pPr>
        <w:rPr>
          <w:rFonts w:cs="Calibri"/>
          <w:sz w:val="24"/>
          <w:szCs w:val="24"/>
        </w:rPr>
      </w:pPr>
      <w:r w:rsidRPr="004946F5">
        <w:rPr>
          <w:rFonts w:cs="Calibri"/>
          <w:sz w:val="24"/>
          <w:szCs w:val="24"/>
        </w:rPr>
        <w:br w:type="page"/>
      </w:r>
    </w:p>
    <w:p w:rsidR="004946F5" w:rsidRPr="004946F5" w:rsidRDefault="004946F5" w:rsidP="00D26CF8">
      <w:pPr>
        <w:jc w:val="both"/>
        <w:rPr>
          <w:rStyle w:val="SubtitleChar"/>
          <w:rFonts w:asciiTheme="minorHAnsi" w:hAnsiTheme="minorHAnsi"/>
          <w:i w:val="0"/>
          <w:color w:val="auto"/>
        </w:rPr>
      </w:pPr>
      <w:r w:rsidRPr="004946F5">
        <w:rPr>
          <w:rStyle w:val="SubtitleChar"/>
          <w:rFonts w:asciiTheme="minorHAnsi" w:hAnsiTheme="minorHAnsi"/>
          <w:i w:val="0"/>
          <w:color w:val="auto"/>
        </w:rPr>
        <w:lastRenderedPageBreak/>
        <w:t>In this Position Statement:</w:t>
      </w:r>
    </w:p>
    <w:p w:rsidR="007A141A" w:rsidRPr="004946F5" w:rsidRDefault="007A141A" w:rsidP="00D26CF8">
      <w:pPr>
        <w:jc w:val="both"/>
        <w:rPr>
          <w:rFonts w:cs="Calibri"/>
          <w:sz w:val="24"/>
          <w:szCs w:val="24"/>
        </w:rPr>
      </w:pPr>
      <w:r w:rsidRPr="004946F5">
        <w:rPr>
          <w:rStyle w:val="SubtitleChar"/>
          <w:rFonts w:asciiTheme="minorHAnsi" w:hAnsiTheme="minorHAnsi"/>
        </w:rPr>
        <w:t>Discrimination</w:t>
      </w:r>
      <w:r w:rsidRPr="004946F5">
        <w:rPr>
          <w:rFonts w:cs="Calibri-Bold"/>
          <w:sz w:val="24"/>
          <w:szCs w:val="24"/>
        </w:rPr>
        <w:t xml:space="preserve"> </w:t>
      </w:r>
      <w:r w:rsidRPr="004946F5">
        <w:rPr>
          <w:rFonts w:cs="Calibri"/>
          <w:sz w:val="24"/>
          <w:szCs w:val="24"/>
        </w:rPr>
        <w:t>means treating or proposing to treat someone less favourably because of a particular characteristic in the same or similar circumstances in certain areas of public life (</w:t>
      </w:r>
      <w:r w:rsidR="004946F5" w:rsidRPr="004946F5">
        <w:rPr>
          <w:rFonts w:cs="Calibri"/>
          <w:sz w:val="24"/>
          <w:szCs w:val="24"/>
        </w:rPr>
        <w:t>‘d</w:t>
      </w:r>
      <w:r w:rsidRPr="004946F5">
        <w:rPr>
          <w:rFonts w:cs="Calibri"/>
          <w:sz w:val="24"/>
          <w:szCs w:val="24"/>
        </w:rPr>
        <w:t xml:space="preserve">irect </w:t>
      </w:r>
      <w:r w:rsidR="004946F5" w:rsidRPr="004946F5">
        <w:rPr>
          <w:rFonts w:cs="Calibri"/>
          <w:sz w:val="24"/>
          <w:szCs w:val="24"/>
        </w:rPr>
        <w:t>d</w:t>
      </w:r>
      <w:r w:rsidRPr="004946F5">
        <w:rPr>
          <w:rFonts w:cs="Calibri"/>
          <w:sz w:val="24"/>
          <w:szCs w:val="24"/>
        </w:rPr>
        <w:t>iscrimination</w:t>
      </w:r>
      <w:r w:rsidR="004946F5" w:rsidRPr="004946F5">
        <w:rPr>
          <w:rFonts w:cs="Calibri"/>
          <w:sz w:val="24"/>
          <w:szCs w:val="24"/>
        </w:rPr>
        <w:t>’</w:t>
      </w:r>
      <w:r w:rsidRPr="004946F5">
        <w:rPr>
          <w:rFonts w:cs="Calibri"/>
          <w:sz w:val="24"/>
          <w:szCs w:val="24"/>
        </w:rPr>
        <w:t>), or imposing or intending to impose an unreasonable requirement, condition or practice that is the same for everyone, but which has an unequal or disproportionate effect on individuals or groups with particular characteristics (Indirect Discrimination). The characteristics covered by discrimination law across Australia in</w:t>
      </w:r>
      <w:r w:rsidR="004946F5" w:rsidRPr="004946F5">
        <w:rPr>
          <w:rFonts w:cs="Calibri"/>
          <w:sz w:val="24"/>
          <w:szCs w:val="24"/>
        </w:rPr>
        <w:t>clude</w:t>
      </w:r>
      <w:r w:rsidRPr="004946F5">
        <w:rPr>
          <w:rFonts w:cs="Calibri"/>
          <w:sz w:val="24"/>
          <w:szCs w:val="24"/>
        </w:rPr>
        <w:t>:</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Age;</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Disability;</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Family/carer responsibilities;</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Gender identity/transgender status;</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Homosexuality and sexual orientation;</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Irrelevant medical record;</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Irrelevant criminal record;</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Political belief/activity;</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Pregnancy and breastfeeding;</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Race;</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Religious belief/activity;</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Sex or gender;</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Social origin;</w:t>
      </w:r>
    </w:p>
    <w:p w:rsidR="007A141A" w:rsidRPr="004946F5" w:rsidRDefault="007A141A" w:rsidP="00D26CF8">
      <w:pPr>
        <w:pStyle w:val="ListParagraph"/>
        <w:numPr>
          <w:ilvl w:val="0"/>
          <w:numId w:val="1"/>
        </w:numPr>
        <w:jc w:val="both"/>
        <w:rPr>
          <w:rFonts w:cs="Calibri"/>
          <w:sz w:val="24"/>
          <w:szCs w:val="24"/>
        </w:rPr>
      </w:pPr>
      <w:r w:rsidRPr="004946F5">
        <w:rPr>
          <w:rFonts w:cs="Calibri"/>
          <w:sz w:val="24"/>
          <w:szCs w:val="24"/>
        </w:rPr>
        <w:t>Trade union membership/activity.</w:t>
      </w:r>
    </w:p>
    <w:p w:rsidR="007A141A" w:rsidRPr="004946F5" w:rsidRDefault="007A141A" w:rsidP="00D26CF8">
      <w:pPr>
        <w:jc w:val="both"/>
        <w:rPr>
          <w:rFonts w:cs="Calibri"/>
          <w:sz w:val="24"/>
          <w:szCs w:val="24"/>
        </w:rPr>
      </w:pPr>
      <w:r w:rsidRPr="004946F5">
        <w:rPr>
          <w:rStyle w:val="SubtitleChar"/>
          <w:rFonts w:asciiTheme="minorHAnsi" w:hAnsiTheme="minorHAnsi"/>
        </w:rPr>
        <w:t>Harassment</w:t>
      </w:r>
      <w:r w:rsidRPr="004946F5">
        <w:rPr>
          <w:rFonts w:cs="Calibri-Bold"/>
          <w:sz w:val="24"/>
          <w:szCs w:val="24"/>
        </w:rPr>
        <w:t xml:space="preserve"> </w:t>
      </w:r>
      <w:r w:rsidRPr="004946F5">
        <w:rPr>
          <w:rFonts w:cs="Calibri"/>
          <w:sz w:val="24"/>
          <w:szCs w:val="24"/>
        </w:rPr>
        <w:t>is any type of behaviour that the other person does not want and that is</w:t>
      </w:r>
      <w:r w:rsidR="006A2416" w:rsidRPr="004946F5">
        <w:rPr>
          <w:rFonts w:cs="Calibri"/>
          <w:sz w:val="24"/>
          <w:szCs w:val="24"/>
        </w:rPr>
        <w:t xml:space="preserve"> </w:t>
      </w:r>
      <w:r w:rsidRPr="004946F5">
        <w:rPr>
          <w:rFonts w:cs="Calibri"/>
          <w:sz w:val="24"/>
          <w:szCs w:val="24"/>
        </w:rPr>
        <w:t>offensive, abusive, belittling or threatening. The behaviour is unwelcome and a</w:t>
      </w:r>
      <w:r w:rsidR="006A2416" w:rsidRPr="004946F5">
        <w:rPr>
          <w:rFonts w:cs="Calibri"/>
          <w:sz w:val="24"/>
          <w:szCs w:val="24"/>
        </w:rPr>
        <w:t xml:space="preserve"> </w:t>
      </w:r>
      <w:r w:rsidRPr="004946F5">
        <w:rPr>
          <w:rFonts w:cs="Calibri"/>
          <w:sz w:val="24"/>
          <w:szCs w:val="24"/>
        </w:rPr>
        <w:t>reasonable person would recognise it as being unwelcome and likely to cause the</w:t>
      </w:r>
      <w:r w:rsidR="006A2416" w:rsidRPr="004946F5">
        <w:rPr>
          <w:rFonts w:cs="Calibri"/>
          <w:sz w:val="24"/>
          <w:szCs w:val="24"/>
        </w:rPr>
        <w:t xml:space="preserve"> </w:t>
      </w:r>
      <w:r w:rsidRPr="004946F5">
        <w:rPr>
          <w:rFonts w:cs="Calibri"/>
          <w:sz w:val="24"/>
          <w:szCs w:val="24"/>
        </w:rPr>
        <w:t>recipient to feel offended, humiliated or intimidated.</w:t>
      </w:r>
    </w:p>
    <w:p w:rsidR="007A141A" w:rsidRPr="004946F5" w:rsidRDefault="007A141A" w:rsidP="00D26CF8">
      <w:pPr>
        <w:jc w:val="both"/>
        <w:rPr>
          <w:rFonts w:cs="Calibri"/>
          <w:sz w:val="24"/>
          <w:szCs w:val="24"/>
        </w:rPr>
      </w:pPr>
      <w:r w:rsidRPr="004946F5">
        <w:rPr>
          <w:rFonts w:cs="Calibri"/>
          <w:sz w:val="24"/>
          <w:szCs w:val="24"/>
        </w:rPr>
        <w:t>Unlawful harassment is sexual or targets a person because of their race, sex, pregnancy,</w:t>
      </w:r>
      <w:r w:rsidR="006A2416" w:rsidRPr="004946F5">
        <w:rPr>
          <w:rFonts w:cs="Calibri"/>
          <w:sz w:val="24"/>
          <w:szCs w:val="24"/>
        </w:rPr>
        <w:t xml:space="preserve"> </w:t>
      </w:r>
      <w:r w:rsidRPr="004946F5">
        <w:rPr>
          <w:rFonts w:cs="Calibri"/>
          <w:sz w:val="24"/>
          <w:szCs w:val="24"/>
        </w:rPr>
        <w:t>marital status, sexual orientation or some other personal characteristic protected by law</w:t>
      </w:r>
      <w:r w:rsidR="006A2416" w:rsidRPr="004946F5">
        <w:rPr>
          <w:rFonts w:cs="Calibri"/>
          <w:sz w:val="24"/>
          <w:szCs w:val="24"/>
        </w:rPr>
        <w:t xml:space="preserve"> </w:t>
      </w:r>
      <w:r w:rsidRPr="004946F5">
        <w:rPr>
          <w:rFonts w:cs="Calibri"/>
          <w:sz w:val="24"/>
          <w:szCs w:val="24"/>
        </w:rPr>
        <w:t>(see characteristic list under discrimination).</w:t>
      </w:r>
    </w:p>
    <w:p w:rsidR="007A141A" w:rsidRPr="004946F5" w:rsidRDefault="007A141A" w:rsidP="00D26CF8">
      <w:pPr>
        <w:jc w:val="both"/>
        <w:rPr>
          <w:rFonts w:cs="Calibri"/>
          <w:sz w:val="24"/>
          <w:szCs w:val="24"/>
        </w:rPr>
      </w:pPr>
      <w:r w:rsidRPr="004946F5">
        <w:rPr>
          <w:rFonts w:cs="Calibri"/>
          <w:sz w:val="24"/>
          <w:szCs w:val="24"/>
        </w:rPr>
        <w:t>It does not matter whether the harassment was intended: the focus is on the impact of</w:t>
      </w:r>
      <w:r w:rsidR="006A2416" w:rsidRPr="004946F5">
        <w:rPr>
          <w:rFonts w:cs="Calibri"/>
          <w:sz w:val="24"/>
          <w:szCs w:val="24"/>
        </w:rPr>
        <w:t xml:space="preserve"> </w:t>
      </w:r>
      <w:r w:rsidRPr="004946F5">
        <w:rPr>
          <w:rFonts w:cs="Calibri"/>
          <w:sz w:val="24"/>
          <w:szCs w:val="24"/>
        </w:rPr>
        <w:t>the behaviour. The basic rule is if someone else finds it harassing then it could be</w:t>
      </w:r>
      <w:r w:rsidR="006A2416" w:rsidRPr="004946F5">
        <w:rPr>
          <w:rFonts w:cs="Calibri"/>
          <w:sz w:val="24"/>
          <w:szCs w:val="24"/>
        </w:rPr>
        <w:t xml:space="preserve"> </w:t>
      </w:r>
      <w:r w:rsidRPr="004946F5">
        <w:rPr>
          <w:rFonts w:cs="Calibri"/>
          <w:sz w:val="24"/>
          <w:szCs w:val="24"/>
        </w:rPr>
        <w:t>harassment. Harassment may be a single incident but is usually repeated. It may be</w:t>
      </w:r>
      <w:r w:rsidR="006A2416" w:rsidRPr="004946F5">
        <w:rPr>
          <w:rFonts w:cs="Calibri"/>
          <w:sz w:val="24"/>
          <w:szCs w:val="24"/>
        </w:rPr>
        <w:t xml:space="preserve"> </w:t>
      </w:r>
      <w:r w:rsidRPr="004946F5">
        <w:rPr>
          <w:rFonts w:cs="Calibri"/>
          <w:sz w:val="24"/>
          <w:szCs w:val="24"/>
        </w:rPr>
        <w:t>explicit or implicit, verbal or non-verbal, and includes electronic cyber communication.</w:t>
      </w:r>
    </w:p>
    <w:p w:rsidR="007A141A" w:rsidRPr="004946F5" w:rsidRDefault="007A141A" w:rsidP="00D26CF8">
      <w:pPr>
        <w:jc w:val="both"/>
        <w:rPr>
          <w:rFonts w:cs="Calibri"/>
          <w:sz w:val="24"/>
          <w:szCs w:val="24"/>
        </w:rPr>
      </w:pPr>
      <w:r w:rsidRPr="004946F5">
        <w:rPr>
          <w:rFonts w:cs="Calibri"/>
          <w:sz w:val="24"/>
          <w:szCs w:val="24"/>
        </w:rPr>
        <w:t>Discrimination and harassment are not permitted in employment (including volunteer</w:t>
      </w:r>
      <w:r w:rsidR="006A2416" w:rsidRPr="004946F5">
        <w:rPr>
          <w:rFonts w:cs="Calibri"/>
          <w:sz w:val="24"/>
          <w:szCs w:val="24"/>
        </w:rPr>
        <w:t xml:space="preserve"> </w:t>
      </w:r>
      <w:r w:rsidRPr="004946F5">
        <w:rPr>
          <w:rFonts w:cs="Calibri"/>
          <w:sz w:val="24"/>
          <w:szCs w:val="24"/>
        </w:rPr>
        <w:t>and unpaid employment); when providing sporting goods and services including access</w:t>
      </w:r>
      <w:r w:rsidR="006A2416" w:rsidRPr="004946F5">
        <w:rPr>
          <w:rFonts w:cs="Calibri"/>
          <w:sz w:val="24"/>
          <w:szCs w:val="24"/>
        </w:rPr>
        <w:t xml:space="preserve"> </w:t>
      </w:r>
      <w:r w:rsidRPr="004946F5">
        <w:rPr>
          <w:rFonts w:cs="Calibri"/>
          <w:sz w:val="24"/>
          <w:szCs w:val="24"/>
        </w:rPr>
        <w:t xml:space="preserve">to sporting facilities; </w:t>
      </w:r>
      <w:r w:rsidRPr="004946F5">
        <w:rPr>
          <w:rFonts w:cs="Calibri"/>
          <w:sz w:val="24"/>
          <w:szCs w:val="24"/>
        </w:rPr>
        <w:lastRenderedPageBreak/>
        <w:t>when providing education and accommodation; the selection or</w:t>
      </w:r>
      <w:r w:rsidR="006A2416" w:rsidRPr="004946F5">
        <w:rPr>
          <w:rFonts w:cs="Calibri"/>
          <w:sz w:val="24"/>
          <w:szCs w:val="24"/>
        </w:rPr>
        <w:t xml:space="preserve"> </w:t>
      </w:r>
      <w:r w:rsidRPr="004946F5">
        <w:rPr>
          <w:rFonts w:cs="Calibri"/>
          <w:sz w:val="24"/>
          <w:szCs w:val="24"/>
        </w:rPr>
        <w:t>otherwise of any person for competition or a team (domestic or international); the entry</w:t>
      </w:r>
      <w:r w:rsidR="006A2416" w:rsidRPr="004946F5">
        <w:rPr>
          <w:rFonts w:cs="Calibri"/>
          <w:sz w:val="24"/>
          <w:szCs w:val="24"/>
        </w:rPr>
        <w:t xml:space="preserve"> </w:t>
      </w:r>
      <w:r w:rsidRPr="004946F5">
        <w:rPr>
          <w:rFonts w:cs="Calibri"/>
          <w:sz w:val="24"/>
          <w:szCs w:val="24"/>
        </w:rPr>
        <w:t>or otherwise of any player or other person to any competition and the obtaining or</w:t>
      </w:r>
      <w:r w:rsidR="006A2416" w:rsidRPr="004946F5">
        <w:rPr>
          <w:rFonts w:cs="Calibri"/>
          <w:sz w:val="24"/>
          <w:szCs w:val="24"/>
        </w:rPr>
        <w:t xml:space="preserve"> </w:t>
      </w:r>
      <w:r w:rsidRPr="004946F5">
        <w:rPr>
          <w:rFonts w:cs="Calibri"/>
          <w:sz w:val="24"/>
          <w:szCs w:val="24"/>
        </w:rPr>
        <w:t>retaining membership of clubs and organisations (including the rights and privileges of</w:t>
      </w:r>
      <w:r w:rsidR="006A2416" w:rsidRPr="004946F5">
        <w:rPr>
          <w:rFonts w:cs="Calibri"/>
          <w:sz w:val="24"/>
          <w:szCs w:val="24"/>
        </w:rPr>
        <w:t xml:space="preserve"> </w:t>
      </w:r>
      <w:r w:rsidRPr="004946F5">
        <w:rPr>
          <w:rFonts w:cs="Calibri"/>
          <w:sz w:val="24"/>
          <w:szCs w:val="24"/>
        </w:rPr>
        <w:t>membership).</w:t>
      </w:r>
    </w:p>
    <w:p w:rsidR="007A141A" w:rsidRPr="004946F5" w:rsidRDefault="007A141A" w:rsidP="00D26CF8">
      <w:pPr>
        <w:jc w:val="both"/>
        <w:rPr>
          <w:rFonts w:cs="Calibri"/>
          <w:sz w:val="24"/>
          <w:szCs w:val="24"/>
        </w:rPr>
      </w:pPr>
      <w:r w:rsidRPr="004946F5">
        <w:rPr>
          <w:rFonts w:cs="Calibri"/>
          <w:sz w:val="24"/>
          <w:szCs w:val="24"/>
        </w:rPr>
        <w:t>Some exceptions to state and federal anti-discrimination law apply. Examples include:</w:t>
      </w:r>
    </w:p>
    <w:p w:rsidR="007A141A" w:rsidRPr="004946F5" w:rsidRDefault="007A141A" w:rsidP="004946F5">
      <w:pPr>
        <w:spacing w:after="120"/>
        <w:ind w:left="709" w:hanging="284"/>
        <w:jc w:val="both"/>
        <w:rPr>
          <w:rFonts w:cs="Calibri"/>
          <w:sz w:val="24"/>
          <w:szCs w:val="24"/>
        </w:rPr>
      </w:pPr>
      <w:r w:rsidRPr="004946F5">
        <w:rPr>
          <w:rFonts w:cs="SymbolMT"/>
          <w:sz w:val="24"/>
          <w:szCs w:val="24"/>
        </w:rPr>
        <w:t xml:space="preserve">• </w:t>
      </w:r>
      <w:r w:rsidR="004946F5" w:rsidRPr="004946F5">
        <w:rPr>
          <w:rFonts w:cs="SymbolMT"/>
          <w:sz w:val="24"/>
          <w:szCs w:val="24"/>
        </w:rPr>
        <w:tab/>
      </w:r>
      <w:r w:rsidRPr="004946F5">
        <w:rPr>
          <w:rFonts w:cs="Calibri"/>
          <w:sz w:val="24"/>
          <w:szCs w:val="24"/>
        </w:rPr>
        <w:t>holding a competitive sporting activity for boys and girls only who are under 12</w:t>
      </w:r>
      <w:r w:rsidR="006A2416" w:rsidRPr="004946F5">
        <w:rPr>
          <w:rFonts w:cs="Calibri"/>
          <w:sz w:val="24"/>
          <w:szCs w:val="24"/>
        </w:rPr>
        <w:t xml:space="preserve"> </w:t>
      </w:r>
      <w:r w:rsidRPr="004946F5">
        <w:rPr>
          <w:rFonts w:cs="Calibri"/>
          <w:sz w:val="24"/>
          <w:szCs w:val="24"/>
        </w:rPr>
        <w:t>years of age or of any age where strength, stamina or physique is relevant</w:t>
      </w:r>
      <w:r w:rsidR="004946F5" w:rsidRPr="004946F5">
        <w:rPr>
          <w:rFonts w:cs="Calibri"/>
          <w:sz w:val="24"/>
          <w:szCs w:val="24"/>
        </w:rPr>
        <w:t>; and</w:t>
      </w:r>
    </w:p>
    <w:p w:rsidR="007A141A" w:rsidRPr="004946F5" w:rsidRDefault="007A141A" w:rsidP="004946F5">
      <w:pPr>
        <w:ind w:left="709" w:hanging="283"/>
        <w:jc w:val="both"/>
        <w:rPr>
          <w:rFonts w:cs="Calibri"/>
          <w:sz w:val="24"/>
          <w:szCs w:val="24"/>
        </w:rPr>
      </w:pPr>
      <w:r w:rsidRPr="004946F5">
        <w:rPr>
          <w:rFonts w:cs="SymbolMT"/>
          <w:sz w:val="24"/>
          <w:szCs w:val="24"/>
        </w:rPr>
        <w:t xml:space="preserve">• </w:t>
      </w:r>
      <w:r w:rsidR="004946F5" w:rsidRPr="004946F5">
        <w:rPr>
          <w:rFonts w:cs="SymbolMT"/>
          <w:sz w:val="24"/>
          <w:szCs w:val="24"/>
        </w:rPr>
        <w:tab/>
      </w:r>
      <w:proofErr w:type="gramStart"/>
      <w:r w:rsidRPr="004946F5">
        <w:rPr>
          <w:rFonts w:cs="Calibri"/>
          <w:sz w:val="24"/>
          <w:szCs w:val="24"/>
        </w:rPr>
        <w:t>not</w:t>
      </w:r>
      <w:proofErr w:type="gramEnd"/>
      <w:r w:rsidRPr="004946F5">
        <w:rPr>
          <w:rFonts w:cs="Calibri"/>
          <w:sz w:val="24"/>
          <w:szCs w:val="24"/>
        </w:rPr>
        <w:t xml:space="preserve"> selecting a participant if the person’s disability means he or she is not reasonably</w:t>
      </w:r>
      <w:r w:rsidR="006A2416" w:rsidRPr="004946F5">
        <w:rPr>
          <w:rFonts w:cs="Calibri"/>
          <w:sz w:val="24"/>
          <w:szCs w:val="24"/>
        </w:rPr>
        <w:t xml:space="preserve"> </w:t>
      </w:r>
      <w:r w:rsidRPr="004946F5">
        <w:rPr>
          <w:rFonts w:cs="Calibri"/>
          <w:sz w:val="24"/>
          <w:szCs w:val="24"/>
        </w:rPr>
        <w:t>capable of performing the actions reasonably required for that particular sporting</w:t>
      </w:r>
      <w:r w:rsidR="006A2416" w:rsidRPr="004946F5">
        <w:rPr>
          <w:rFonts w:cs="Calibri"/>
          <w:sz w:val="24"/>
          <w:szCs w:val="24"/>
        </w:rPr>
        <w:t xml:space="preserve"> </w:t>
      </w:r>
      <w:r w:rsidR="004946F5" w:rsidRPr="004946F5">
        <w:rPr>
          <w:rFonts w:cs="Calibri"/>
          <w:sz w:val="24"/>
          <w:szCs w:val="24"/>
        </w:rPr>
        <w:t>activity.</w:t>
      </w:r>
    </w:p>
    <w:p w:rsidR="007A141A" w:rsidRPr="004946F5" w:rsidRDefault="007A141A" w:rsidP="004946F5">
      <w:pPr>
        <w:jc w:val="both"/>
        <w:rPr>
          <w:rFonts w:cs="Calibri"/>
          <w:sz w:val="24"/>
          <w:szCs w:val="24"/>
        </w:rPr>
      </w:pPr>
      <w:r w:rsidRPr="004946F5">
        <w:rPr>
          <w:rFonts w:cs="Calibri"/>
          <w:sz w:val="24"/>
          <w:szCs w:val="24"/>
        </w:rPr>
        <w:t>Requesting, assisting, instructing, inducing or encouraging another person to</w:t>
      </w:r>
      <w:r w:rsidR="006A2416" w:rsidRPr="004946F5">
        <w:rPr>
          <w:rFonts w:cs="Calibri"/>
          <w:sz w:val="24"/>
          <w:szCs w:val="24"/>
        </w:rPr>
        <w:t xml:space="preserve"> </w:t>
      </w:r>
      <w:r w:rsidRPr="004946F5">
        <w:rPr>
          <w:rFonts w:cs="Calibri"/>
          <w:sz w:val="24"/>
          <w:szCs w:val="24"/>
        </w:rPr>
        <w:t>engage in discrimination or harassment may also be against the law.</w:t>
      </w:r>
    </w:p>
    <w:p w:rsidR="007A141A" w:rsidRPr="004946F5" w:rsidRDefault="007A141A" w:rsidP="00D26CF8">
      <w:pPr>
        <w:jc w:val="both"/>
        <w:rPr>
          <w:rFonts w:cs="Calibri"/>
          <w:sz w:val="24"/>
          <w:szCs w:val="24"/>
        </w:rPr>
      </w:pPr>
      <w:r w:rsidRPr="004946F5">
        <w:rPr>
          <w:rFonts w:cs="Calibri"/>
          <w:sz w:val="24"/>
          <w:szCs w:val="24"/>
        </w:rPr>
        <w:t>It is also a breach of discrimination law to victimise a person who is involved in making a</w:t>
      </w:r>
      <w:r w:rsidR="006A2416" w:rsidRPr="004946F5">
        <w:rPr>
          <w:rFonts w:cs="Calibri"/>
          <w:sz w:val="24"/>
          <w:szCs w:val="24"/>
        </w:rPr>
        <w:t xml:space="preserve"> </w:t>
      </w:r>
      <w:r w:rsidRPr="004946F5">
        <w:rPr>
          <w:rFonts w:cs="Calibri"/>
          <w:sz w:val="24"/>
          <w:szCs w:val="24"/>
        </w:rPr>
        <w:t xml:space="preserve">complaint of discrimination or harassment. </w:t>
      </w:r>
    </w:p>
    <w:p w:rsidR="007A141A" w:rsidRPr="004946F5" w:rsidRDefault="007A141A" w:rsidP="00D26CF8">
      <w:pPr>
        <w:jc w:val="both"/>
        <w:rPr>
          <w:rFonts w:cs="Calibri"/>
          <w:sz w:val="24"/>
          <w:szCs w:val="24"/>
        </w:rPr>
      </w:pPr>
      <w:r w:rsidRPr="004946F5">
        <w:rPr>
          <w:rFonts w:cs="Calibri"/>
          <w:sz w:val="24"/>
          <w:szCs w:val="24"/>
        </w:rPr>
        <w:t>Public acts of racial hatred which are reasonably likely to offend, insult, humiliate or</w:t>
      </w:r>
      <w:r w:rsidR="006A2416" w:rsidRPr="004946F5">
        <w:rPr>
          <w:rFonts w:cs="Calibri"/>
          <w:sz w:val="24"/>
          <w:szCs w:val="24"/>
        </w:rPr>
        <w:t xml:space="preserve"> </w:t>
      </w:r>
      <w:r w:rsidRPr="004946F5">
        <w:rPr>
          <w:rFonts w:cs="Calibri"/>
          <w:sz w:val="24"/>
          <w:szCs w:val="24"/>
        </w:rPr>
        <w:t>intimidate are also prohibited. This applies to spectators, participants or any other</w:t>
      </w:r>
      <w:r w:rsidR="006A2416" w:rsidRPr="004946F5">
        <w:rPr>
          <w:rFonts w:cs="Calibri"/>
          <w:sz w:val="24"/>
          <w:szCs w:val="24"/>
        </w:rPr>
        <w:t xml:space="preserve"> </w:t>
      </w:r>
      <w:r w:rsidRPr="004946F5">
        <w:rPr>
          <w:rFonts w:cs="Calibri"/>
          <w:sz w:val="24"/>
          <w:szCs w:val="24"/>
        </w:rPr>
        <w:t>person who engages in such an act in public. Some states and territories also prohibit</w:t>
      </w:r>
      <w:r w:rsidR="006A2416" w:rsidRPr="004946F5">
        <w:rPr>
          <w:rFonts w:cs="Calibri"/>
          <w:sz w:val="24"/>
          <w:szCs w:val="24"/>
        </w:rPr>
        <w:t xml:space="preserve"> </w:t>
      </w:r>
      <w:r w:rsidRPr="004946F5">
        <w:rPr>
          <w:rFonts w:cs="Calibri"/>
          <w:sz w:val="24"/>
          <w:szCs w:val="24"/>
        </w:rPr>
        <w:t>public acts that vilify on other grounds such as homosexuality, gender identity,</w:t>
      </w:r>
      <w:r w:rsidR="006A2416" w:rsidRPr="004946F5">
        <w:rPr>
          <w:rFonts w:cs="Calibri"/>
          <w:sz w:val="24"/>
          <w:szCs w:val="24"/>
        </w:rPr>
        <w:t xml:space="preserve"> </w:t>
      </w:r>
      <w:r w:rsidRPr="004946F5">
        <w:rPr>
          <w:rFonts w:cs="Calibri"/>
          <w:sz w:val="24"/>
          <w:szCs w:val="24"/>
        </w:rPr>
        <w:t xml:space="preserve">HIV/AIDS, religion and disability – see </w:t>
      </w:r>
      <w:r w:rsidR="004946F5" w:rsidRPr="004946F5">
        <w:rPr>
          <w:rFonts w:cs="Calibri"/>
          <w:sz w:val="24"/>
          <w:szCs w:val="24"/>
        </w:rPr>
        <w:t>‘</w:t>
      </w:r>
      <w:r w:rsidRPr="004946F5">
        <w:rPr>
          <w:rFonts w:cs="Calibri"/>
          <w:sz w:val="24"/>
          <w:szCs w:val="24"/>
        </w:rPr>
        <w:t>vilification</w:t>
      </w:r>
      <w:r w:rsidR="004946F5" w:rsidRPr="004946F5">
        <w:rPr>
          <w:rFonts w:cs="Calibri"/>
          <w:sz w:val="24"/>
          <w:szCs w:val="24"/>
        </w:rPr>
        <w:t>’</w:t>
      </w:r>
      <w:r w:rsidRPr="004946F5">
        <w:rPr>
          <w:rFonts w:cs="Calibri"/>
          <w:sz w:val="24"/>
          <w:szCs w:val="24"/>
        </w:rPr>
        <w:t>.</w:t>
      </w:r>
    </w:p>
    <w:p w:rsidR="0066169F" w:rsidRPr="004946F5" w:rsidRDefault="0066169F" w:rsidP="00D26CF8">
      <w:pPr>
        <w:jc w:val="both"/>
        <w:rPr>
          <w:rFonts w:cs="Calibri"/>
          <w:sz w:val="24"/>
          <w:szCs w:val="24"/>
        </w:rPr>
      </w:pPr>
      <w:r w:rsidRPr="004946F5">
        <w:rPr>
          <w:rStyle w:val="SubtitleChar"/>
          <w:rFonts w:asciiTheme="minorHAnsi" w:hAnsiTheme="minorHAnsi"/>
        </w:rPr>
        <w:t>Sexual harassment</w:t>
      </w:r>
      <w:r w:rsidRPr="004946F5">
        <w:rPr>
          <w:rFonts w:cs="Calibri-Bold"/>
          <w:sz w:val="24"/>
          <w:szCs w:val="24"/>
        </w:rPr>
        <w:t xml:space="preserve"> </w:t>
      </w:r>
      <w:r w:rsidRPr="004946F5">
        <w:rPr>
          <w:rFonts w:cs="Calibri"/>
          <w:sz w:val="24"/>
          <w:szCs w:val="24"/>
        </w:rPr>
        <w:t>means unwanted, unwelcome or uninvited behaviour of a sexual</w:t>
      </w:r>
      <w:r w:rsidR="004F592A" w:rsidRPr="004946F5">
        <w:rPr>
          <w:rFonts w:cs="Calibri"/>
          <w:sz w:val="24"/>
          <w:szCs w:val="24"/>
        </w:rPr>
        <w:t xml:space="preserve"> </w:t>
      </w:r>
      <w:r w:rsidRPr="004946F5">
        <w:rPr>
          <w:rFonts w:cs="Calibri"/>
          <w:sz w:val="24"/>
          <w:szCs w:val="24"/>
        </w:rPr>
        <w:t>nature which could reasonably be anticipated to make a person feel humiliated,</w:t>
      </w:r>
      <w:r w:rsidR="004F592A" w:rsidRPr="004946F5">
        <w:rPr>
          <w:rFonts w:cs="Calibri"/>
          <w:sz w:val="24"/>
          <w:szCs w:val="24"/>
        </w:rPr>
        <w:t xml:space="preserve"> </w:t>
      </w:r>
      <w:r w:rsidRPr="004946F5">
        <w:rPr>
          <w:rFonts w:cs="Calibri"/>
          <w:sz w:val="24"/>
          <w:szCs w:val="24"/>
        </w:rPr>
        <w:t>intimidated or offended. Sexual harassment can take many different forms and may</w:t>
      </w:r>
      <w:r w:rsidR="004F592A" w:rsidRPr="004946F5">
        <w:rPr>
          <w:rFonts w:cs="Calibri"/>
          <w:sz w:val="24"/>
          <w:szCs w:val="24"/>
        </w:rPr>
        <w:t xml:space="preserve"> </w:t>
      </w:r>
      <w:r w:rsidRPr="004946F5">
        <w:rPr>
          <w:rFonts w:cs="Calibri"/>
          <w:sz w:val="24"/>
          <w:szCs w:val="24"/>
        </w:rPr>
        <w:t>include unwanted physical contact, verbal comments, jokes, propositions, display of</w:t>
      </w:r>
      <w:r w:rsidR="004F592A" w:rsidRPr="004946F5">
        <w:rPr>
          <w:rFonts w:cs="Calibri"/>
          <w:sz w:val="24"/>
          <w:szCs w:val="24"/>
        </w:rPr>
        <w:t xml:space="preserve"> </w:t>
      </w:r>
      <w:r w:rsidRPr="004946F5">
        <w:rPr>
          <w:rFonts w:cs="Calibri"/>
          <w:sz w:val="24"/>
          <w:szCs w:val="24"/>
        </w:rPr>
        <w:t>pornographic or offensive material or other behaviour that creates a sexually hostile</w:t>
      </w:r>
      <w:r w:rsidR="004F592A" w:rsidRPr="004946F5">
        <w:rPr>
          <w:rFonts w:cs="Calibri"/>
          <w:sz w:val="24"/>
          <w:szCs w:val="24"/>
        </w:rPr>
        <w:t xml:space="preserve"> </w:t>
      </w:r>
      <w:r w:rsidRPr="004946F5">
        <w:rPr>
          <w:rFonts w:cs="Calibri"/>
          <w:sz w:val="24"/>
          <w:szCs w:val="24"/>
        </w:rPr>
        <w:t>environment.</w:t>
      </w:r>
    </w:p>
    <w:p w:rsidR="0066169F" w:rsidRPr="004946F5" w:rsidRDefault="0066169F" w:rsidP="00D26CF8">
      <w:pPr>
        <w:jc w:val="both"/>
        <w:rPr>
          <w:rFonts w:cs="Calibri"/>
          <w:sz w:val="24"/>
          <w:szCs w:val="24"/>
        </w:rPr>
      </w:pPr>
      <w:r w:rsidRPr="004946F5">
        <w:rPr>
          <w:rFonts w:cs="Calibri"/>
          <w:sz w:val="24"/>
          <w:szCs w:val="24"/>
        </w:rPr>
        <w:t>Sexual harassment is not behaviour based on mutual attraction, friendship and respect.</w:t>
      </w:r>
      <w:r w:rsidR="004F592A" w:rsidRPr="004946F5">
        <w:rPr>
          <w:rFonts w:cs="Calibri"/>
          <w:sz w:val="24"/>
          <w:szCs w:val="24"/>
        </w:rPr>
        <w:t xml:space="preserve"> </w:t>
      </w:r>
      <w:r w:rsidRPr="004946F5">
        <w:rPr>
          <w:rFonts w:cs="Calibri"/>
          <w:sz w:val="24"/>
          <w:szCs w:val="24"/>
        </w:rPr>
        <w:t>If the interaction is between consenting adults, it is not sexual harassment.</w:t>
      </w:r>
    </w:p>
    <w:p w:rsidR="0066169F" w:rsidRPr="004946F5" w:rsidRDefault="0066169F" w:rsidP="00D26CF8">
      <w:pPr>
        <w:jc w:val="both"/>
        <w:rPr>
          <w:rFonts w:cs="Calibri"/>
          <w:sz w:val="24"/>
          <w:szCs w:val="24"/>
        </w:rPr>
      </w:pPr>
      <w:r w:rsidRPr="004946F5">
        <w:rPr>
          <w:rStyle w:val="SubtitleChar"/>
          <w:rFonts w:asciiTheme="minorHAnsi" w:hAnsiTheme="minorHAnsi"/>
        </w:rPr>
        <w:t>Victimisation</w:t>
      </w:r>
      <w:r w:rsidRPr="004946F5">
        <w:rPr>
          <w:rFonts w:cs="Calibri-Bold"/>
          <w:sz w:val="24"/>
          <w:szCs w:val="24"/>
        </w:rPr>
        <w:t xml:space="preserve"> </w:t>
      </w:r>
      <w:r w:rsidRPr="004946F5">
        <w:rPr>
          <w:rFonts w:cs="Calibri"/>
          <w:sz w:val="24"/>
          <w:szCs w:val="24"/>
        </w:rPr>
        <w:t>means subjecting a person or threatening to subject a person to any</w:t>
      </w:r>
      <w:r w:rsidR="004F592A" w:rsidRPr="004946F5">
        <w:rPr>
          <w:rFonts w:cs="Calibri"/>
          <w:sz w:val="24"/>
          <w:szCs w:val="24"/>
        </w:rPr>
        <w:t xml:space="preserve"> </w:t>
      </w:r>
      <w:r w:rsidRPr="004946F5">
        <w:rPr>
          <w:rFonts w:cs="Calibri"/>
          <w:sz w:val="24"/>
          <w:szCs w:val="24"/>
        </w:rPr>
        <w:t>detriment or unfair treatment because that person has or intends to pursue their rights</w:t>
      </w:r>
      <w:r w:rsidR="004F592A" w:rsidRPr="004946F5">
        <w:rPr>
          <w:rFonts w:cs="Calibri"/>
          <w:sz w:val="24"/>
          <w:szCs w:val="24"/>
        </w:rPr>
        <w:t xml:space="preserve"> </w:t>
      </w:r>
      <w:r w:rsidRPr="004946F5">
        <w:rPr>
          <w:rFonts w:cs="Calibri"/>
          <w:sz w:val="24"/>
          <w:szCs w:val="24"/>
        </w:rPr>
        <w:t>to make any complaint including a complaint under government legislation (e.g. antidiscrimination)</w:t>
      </w:r>
      <w:r w:rsidR="004F592A" w:rsidRPr="004946F5">
        <w:rPr>
          <w:rFonts w:cs="Calibri"/>
          <w:sz w:val="24"/>
          <w:szCs w:val="24"/>
        </w:rPr>
        <w:t xml:space="preserve"> </w:t>
      </w:r>
      <w:r w:rsidR="004946F5">
        <w:rPr>
          <w:rFonts w:cs="Calibri"/>
          <w:sz w:val="24"/>
          <w:szCs w:val="24"/>
        </w:rPr>
        <w:t>or under this Position Statement</w:t>
      </w:r>
      <w:r w:rsidRPr="004946F5">
        <w:rPr>
          <w:rFonts w:cs="Calibri"/>
          <w:sz w:val="24"/>
          <w:szCs w:val="24"/>
        </w:rPr>
        <w:t>, or for supporting such a person.</w:t>
      </w:r>
    </w:p>
    <w:p w:rsidR="0066169F" w:rsidRPr="004946F5" w:rsidRDefault="0066169F" w:rsidP="00D26CF8">
      <w:pPr>
        <w:jc w:val="both"/>
        <w:rPr>
          <w:rFonts w:cs="Calibri"/>
          <w:sz w:val="24"/>
          <w:szCs w:val="24"/>
        </w:rPr>
      </w:pPr>
      <w:r w:rsidRPr="004946F5">
        <w:rPr>
          <w:rStyle w:val="SubtitleChar"/>
          <w:rFonts w:asciiTheme="minorHAnsi" w:hAnsiTheme="minorHAnsi"/>
        </w:rPr>
        <w:t>Vilification</w:t>
      </w:r>
      <w:r w:rsidRPr="004946F5">
        <w:rPr>
          <w:rFonts w:cs="Calibri-Bold"/>
          <w:sz w:val="24"/>
          <w:szCs w:val="24"/>
        </w:rPr>
        <w:t xml:space="preserve"> </w:t>
      </w:r>
      <w:r w:rsidRPr="004946F5">
        <w:rPr>
          <w:rFonts w:cs="Calibri"/>
          <w:sz w:val="24"/>
          <w:szCs w:val="24"/>
        </w:rPr>
        <w:t>involves a person or organisation doing public acts to incite hatred towards,</w:t>
      </w:r>
      <w:r w:rsidR="004F592A" w:rsidRPr="004946F5">
        <w:rPr>
          <w:rFonts w:cs="Calibri"/>
          <w:sz w:val="24"/>
          <w:szCs w:val="24"/>
        </w:rPr>
        <w:t xml:space="preserve"> </w:t>
      </w:r>
      <w:r w:rsidRPr="004946F5">
        <w:rPr>
          <w:rFonts w:cs="Calibri"/>
          <w:sz w:val="24"/>
          <w:szCs w:val="24"/>
        </w:rPr>
        <w:t>serious contempt for, or severe ridicule of a person or group of persons having any of</w:t>
      </w:r>
      <w:r w:rsidR="004F592A" w:rsidRPr="004946F5">
        <w:rPr>
          <w:rFonts w:cs="Calibri"/>
          <w:sz w:val="24"/>
          <w:szCs w:val="24"/>
        </w:rPr>
        <w:t xml:space="preserve"> </w:t>
      </w:r>
      <w:r w:rsidRPr="004946F5">
        <w:rPr>
          <w:rFonts w:cs="Calibri"/>
          <w:sz w:val="24"/>
          <w:szCs w:val="24"/>
        </w:rPr>
        <w:t>the attributes or characteristics within the meaning of discrimination. Public acts that</w:t>
      </w:r>
      <w:r w:rsidR="004F592A" w:rsidRPr="004946F5">
        <w:rPr>
          <w:rFonts w:cs="Calibri"/>
          <w:sz w:val="24"/>
          <w:szCs w:val="24"/>
        </w:rPr>
        <w:t xml:space="preserve"> </w:t>
      </w:r>
      <w:r w:rsidRPr="004946F5">
        <w:rPr>
          <w:rFonts w:cs="Calibri"/>
          <w:sz w:val="24"/>
          <w:szCs w:val="24"/>
        </w:rPr>
        <w:t>may amount to vilification include any form of communication to the public and any</w:t>
      </w:r>
      <w:r w:rsidR="001B15EE" w:rsidRPr="004946F5">
        <w:rPr>
          <w:rFonts w:cs="Calibri"/>
          <w:sz w:val="24"/>
          <w:szCs w:val="24"/>
        </w:rPr>
        <w:t xml:space="preserve"> </w:t>
      </w:r>
      <w:r w:rsidRPr="004946F5">
        <w:rPr>
          <w:rFonts w:cs="Calibri"/>
          <w:sz w:val="24"/>
          <w:szCs w:val="24"/>
        </w:rPr>
        <w:t>conduct observable by the public.</w:t>
      </w:r>
    </w:p>
    <w:sectPr w:rsidR="0066169F" w:rsidRPr="004946F5" w:rsidSect="006B5F46">
      <w:headerReference w:type="first" r:id="rId7"/>
      <w:pgSz w:w="12240" w:h="15840"/>
      <w:pgMar w:top="1440" w:right="1325" w:bottom="1440" w:left="1276"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4C5" w:rsidRDefault="005F04C5" w:rsidP="004A0875">
      <w:pPr>
        <w:spacing w:after="0" w:line="240" w:lineRule="auto"/>
      </w:pPr>
      <w:r>
        <w:separator/>
      </w:r>
    </w:p>
  </w:endnote>
  <w:endnote w:type="continuationSeparator" w:id="0">
    <w:p w:rsidR="005F04C5" w:rsidRDefault="005F04C5" w:rsidP="004A0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4C5" w:rsidRDefault="005F04C5" w:rsidP="004A0875">
      <w:pPr>
        <w:spacing w:after="0" w:line="240" w:lineRule="auto"/>
      </w:pPr>
      <w:r>
        <w:separator/>
      </w:r>
    </w:p>
  </w:footnote>
  <w:footnote w:type="continuationSeparator" w:id="0">
    <w:p w:rsidR="005F04C5" w:rsidRDefault="005F04C5" w:rsidP="004A08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2A" w:rsidRPr="00653A43" w:rsidRDefault="004F592A" w:rsidP="004F592A">
    <w:pPr>
      <w:spacing w:line="240" w:lineRule="auto"/>
      <w:ind w:left="-142"/>
      <w:jc w:val="center"/>
      <w:rPr>
        <w:rFonts w:ascii="Calibri" w:hAnsi="Calibri"/>
        <w:b/>
        <w:color w:val="0070C0"/>
        <w:sz w:val="37"/>
        <w:szCs w:val="37"/>
      </w:rPr>
    </w:pPr>
    <w:r>
      <w:rPr>
        <w:rFonts w:ascii="Calibri" w:hAnsi="Calibri"/>
        <w:noProof/>
        <w:color w:val="0070C0"/>
        <w:lang w:eastAsia="en-AU"/>
      </w:rPr>
      <w:drawing>
        <wp:anchor distT="0" distB="0" distL="114300" distR="114300" simplePos="0" relativeHeight="251659264" behindDoc="0" locked="0" layoutInCell="1" allowOverlap="1">
          <wp:simplePos x="0" y="0"/>
          <wp:positionH relativeFrom="column">
            <wp:posOffset>4951730</wp:posOffset>
          </wp:positionH>
          <wp:positionV relativeFrom="paragraph">
            <wp:posOffset>65405</wp:posOffset>
          </wp:positionV>
          <wp:extent cx="1443355" cy="1264920"/>
          <wp:effectExtent l="19050" t="0" r="4445" b="0"/>
          <wp:wrapNone/>
          <wp:docPr id="2" name="Picture 11" descr="Seacliff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cliff logo RGB"/>
                  <pic:cNvPicPr>
                    <a:picLocks noChangeAspect="1" noChangeArrowheads="1"/>
                  </pic:cNvPicPr>
                </pic:nvPicPr>
                <pic:blipFill>
                  <a:blip r:embed="rId1"/>
                  <a:srcRect/>
                  <a:stretch>
                    <a:fillRect/>
                  </a:stretch>
                </pic:blipFill>
                <pic:spPr bwMode="auto">
                  <a:xfrm>
                    <a:off x="0" y="0"/>
                    <a:ext cx="1443355" cy="1264920"/>
                  </a:xfrm>
                  <a:prstGeom prst="rect">
                    <a:avLst/>
                  </a:prstGeom>
                  <a:noFill/>
                  <a:ln w="9525">
                    <a:noFill/>
                    <a:miter lim="800000"/>
                    <a:headEnd/>
                    <a:tailEnd/>
                  </a:ln>
                </pic:spPr>
              </pic:pic>
            </a:graphicData>
          </a:graphic>
        </wp:anchor>
      </w:drawing>
    </w:r>
    <w:r w:rsidRPr="00653A43">
      <w:rPr>
        <w:rFonts w:ascii="Calibri" w:hAnsi="Calibri"/>
        <w:b/>
        <w:color w:val="0070C0"/>
        <w:sz w:val="37"/>
        <w:szCs w:val="37"/>
      </w:rPr>
      <w:t>SEACLIFF HOCKEY CLUB INC.</w:t>
    </w:r>
  </w:p>
  <w:p w:rsidR="004F592A" w:rsidRPr="00653A43" w:rsidRDefault="004F592A" w:rsidP="004F592A">
    <w:pPr>
      <w:pStyle w:val="Heading4"/>
      <w:spacing w:before="60"/>
      <w:ind w:left="-142"/>
      <w:rPr>
        <w:rFonts w:ascii="Calibri" w:hAnsi="Calibri"/>
        <w:color w:val="0070C0"/>
        <w:szCs w:val="22"/>
      </w:rPr>
    </w:pPr>
    <w:r w:rsidRPr="00653A43">
      <w:rPr>
        <w:rFonts w:ascii="Calibri" w:hAnsi="Calibri"/>
        <w:color w:val="0070C0"/>
        <w:szCs w:val="22"/>
      </w:rPr>
      <w:t>ABN 18 733 148 445</w:t>
    </w:r>
  </w:p>
  <w:p w:rsidR="004F592A" w:rsidRPr="00653A43" w:rsidRDefault="004F592A" w:rsidP="004F592A">
    <w:pPr>
      <w:widowControl w:val="0"/>
      <w:tabs>
        <w:tab w:val="center" w:pos="4154"/>
        <w:tab w:val="right" w:pos="8309"/>
      </w:tabs>
      <w:spacing w:before="60" w:line="240" w:lineRule="auto"/>
      <w:ind w:left="-142"/>
      <w:jc w:val="center"/>
      <w:rPr>
        <w:rFonts w:ascii="Calibri" w:hAnsi="Calibri"/>
        <w:b/>
        <w:color w:val="0070C0"/>
        <w:sz w:val="29"/>
        <w:szCs w:val="29"/>
      </w:rPr>
    </w:pPr>
    <w:r w:rsidRPr="00653A43">
      <w:rPr>
        <w:rFonts w:ascii="Calibri" w:hAnsi="Calibri"/>
        <w:b/>
        <w:color w:val="0070C0"/>
        <w:sz w:val="24"/>
        <w:szCs w:val="24"/>
      </w:rPr>
      <w:sym w:font="Wingdings" w:char="F02B"/>
    </w:r>
    <w:r w:rsidRPr="00653A43">
      <w:rPr>
        <w:rFonts w:ascii="Calibri" w:hAnsi="Calibri"/>
        <w:b/>
        <w:color w:val="0070C0"/>
        <w:sz w:val="24"/>
        <w:szCs w:val="24"/>
      </w:rPr>
      <w:t xml:space="preserve"> </w:t>
    </w:r>
    <w:r w:rsidRPr="00653A43">
      <w:rPr>
        <w:rFonts w:ascii="Calibri" w:hAnsi="Calibri"/>
        <w:b/>
        <w:color w:val="0070C0"/>
        <w:sz w:val="26"/>
        <w:szCs w:val="26"/>
      </w:rPr>
      <w:t xml:space="preserve">P.O. </w:t>
    </w:r>
    <w:smartTag w:uri="urn:schemas-microsoft-com:office:smarttags" w:element="address">
      <w:smartTag w:uri="urn:schemas-microsoft-com:office:smarttags" w:element="Street">
        <w:r w:rsidRPr="00653A43">
          <w:rPr>
            <w:rFonts w:ascii="Calibri" w:hAnsi="Calibri"/>
            <w:b/>
            <w:color w:val="0070C0"/>
            <w:sz w:val="26"/>
            <w:szCs w:val="26"/>
          </w:rPr>
          <w:t>BOX</w:t>
        </w:r>
      </w:smartTag>
      <w:r w:rsidRPr="00653A43">
        <w:rPr>
          <w:rFonts w:ascii="Calibri" w:hAnsi="Calibri"/>
          <w:b/>
          <w:color w:val="0070C0"/>
          <w:sz w:val="26"/>
          <w:szCs w:val="26"/>
        </w:rPr>
        <w:t xml:space="preserve"> 2</w:t>
      </w:r>
    </w:smartTag>
    <w:r w:rsidRPr="00653A43">
      <w:rPr>
        <w:rFonts w:ascii="Calibri" w:hAnsi="Calibri"/>
        <w:b/>
        <w:color w:val="0070C0"/>
        <w:sz w:val="26"/>
        <w:szCs w:val="26"/>
      </w:rPr>
      <w:t xml:space="preserve">, </w:t>
    </w:r>
    <w:smartTag w:uri="urn:schemas-microsoft-com:office:smarttags" w:element="place">
      <w:r w:rsidRPr="00653A43">
        <w:rPr>
          <w:rFonts w:ascii="Calibri" w:hAnsi="Calibri"/>
          <w:b/>
          <w:color w:val="0070C0"/>
          <w:sz w:val="26"/>
          <w:szCs w:val="26"/>
        </w:rPr>
        <w:t>BRIGHTON</w:t>
      </w:r>
    </w:smartTag>
    <w:r w:rsidRPr="00653A43">
      <w:rPr>
        <w:rFonts w:ascii="Calibri" w:hAnsi="Calibri"/>
        <w:b/>
        <w:color w:val="0070C0"/>
        <w:sz w:val="26"/>
        <w:szCs w:val="26"/>
      </w:rPr>
      <w:t>, 5048</w:t>
    </w:r>
  </w:p>
  <w:p w:rsidR="004F592A" w:rsidRPr="00653A43" w:rsidRDefault="004F592A" w:rsidP="004F592A">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Grounds and Clubhouse: </w:t>
    </w:r>
    <w:smartTag w:uri="urn:schemas-microsoft-com:office:smarttags" w:element="Street">
      <w:smartTag w:uri="urn:schemas-microsoft-com:office:smarttags" w:element="address">
        <w:r w:rsidRPr="00653A43">
          <w:rPr>
            <w:rFonts w:ascii="Calibri" w:hAnsi="Calibri"/>
            <w:color w:val="0070C0"/>
            <w:sz w:val="18"/>
            <w:szCs w:val="18"/>
          </w:rPr>
          <w:t>Lipson Avenue</w:t>
        </w:r>
      </w:smartTag>
    </w:smartTag>
    <w:r w:rsidRPr="00653A43">
      <w:rPr>
        <w:rFonts w:ascii="Calibri" w:hAnsi="Calibri"/>
        <w:color w:val="0070C0"/>
        <w:sz w:val="18"/>
        <w:szCs w:val="18"/>
      </w:rPr>
      <w:t>, Seacliff, SA 5049</w:t>
    </w:r>
  </w:p>
  <w:p w:rsidR="004F592A" w:rsidRPr="00653A43" w:rsidRDefault="004F592A" w:rsidP="004F592A">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Web site: </w:t>
    </w:r>
    <w:hyperlink r:id="rId2" w:history="1">
      <w:r w:rsidRPr="00653A43">
        <w:rPr>
          <w:rStyle w:val="Hyperlink"/>
          <w:rFonts w:ascii="Calibri" w:hAnsi="Calibri"/>
          <w:color w:val="0070C0"/>
          <w:sz w:val="18"/>
          <w:szCs w:val="18"/>
        </w:rPr>
        <w:t>www.shc.org.au</w:t>
      </w:r>
    </w:hyperlink>
    <w:r w:rsidRPr="00653A43">
      <w:rPr>
        <w:rFonts w:ascii="Calibri" w:hAnsi="Calibri"/>
        <w:color w:val="0070C0"/>
        <w:sz w:val="18"/>
        <w:szCs w:val="18"/>
      </w:rPr>
      <w:t xml:space="preserve">  </w:t>
    </w:r>
  </w:p>
  <w:p w:rsidR="004F592A" w:rsidRDefault="004F5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6B9"/>
    <w:multiLevelType w:val="hybridMultilevel"/>
    <w:tmpl w:val="96B4ED14"/>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53696A"/>
    <w:multiLevelType w:val="hybridMultilevel"/>
    <w:tmpl w:val="90A6DA76"/>
    <w:lvl w:ilvl="0" w:tplc="58A4EDA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72931FD"/>
    <w:multiLevelType w:val="hybridMultilevel"/>
    <w:tmpl w:val="C24C9886"/>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97678D"/>
    <w:multiLevelType w:val="hybridMultilevel"/>
    <w:tmpl w:val="B0DA0CC0"/>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2A773BE"/>
    <w:multiLevelType w:val="hybridMultilevel"/>
    <w:tmpl w:val="B82CF434"/>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9BC1B59"/>
    <w:multiLevelType w:val="hybridMultilevel"/>
    <w:tmpl w:val="9BBC044A"/>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8E4AE7"/>
    <w:multiLevelType w:val="hybridMultilevel"/>
    <w:tmpl w:val="F392ABFC"/>
    <w:lvl w:ilvl="0" w:tplc="0C090001">
      <w:start w:val="1"/>
      <w:numFmt w:val="bullet"/>
      <w:lvlText w:val=""/>
      <w:lvlJc w:val="left"/>
      <w:pPr>
        <w:ind w:left="720" w:hanging="360"/>
      </w:pPr>
      <w:rPr>
        <w:rFonts w:ascii="Symbol" w:hAnsi="Symbol" w:hint="default"/>
      </w:rPr>
    </w:lvl>
    <w:lvl w:ilvl="1" w:tplc="8F182BC8">
      <w:numFmt w:val="bullet"/>
      <w:lvlText w:val="•"/>
      <w:lvlJc w:val="left"/>
      <w:pPr>
        <w:ind w:left="1440" w:hanging="360"/>
      </w:pPr>
      <w:rPr>
        <w:rFonts w:ascii="SymbolMT" w:eastAsiaTheme="minorHAnsi" w:hAnsi="SymbolMT" w:cs="SymbolMT"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952A99"/>
    <w:multiLevelType w:val="hybridMultilevel"/>
    <w:tmpl w:val="27D8D7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670DBA"/>
    <w:multiLevelType w:val="hybridMultilevel"/>
    <w:tmpl w:val="A7AE3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73F7220"/>
    <w:multiLevelType w:val="hybridMultilevel"/>
    <w:tmpl w:val="1B5056EC"/>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E5C6286"/>
    <w:multiLevelType w:val="hybridMultilevel"/>
    <w:tmpl w:val="192C0D28"/>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0"/>
  </w:num>
  <w:num w:numId="5">
    <w:abstractNumId w:val="2"/>
  </w:num>
  <w:num w:numId="6">
    <w:abstractNumId w:val="0"/>
  </w:num>
  <w:num w:numId="7">
    <w:abstractNumId w:val="5"/>
  </w:num>
  <w:num w:numId="8">
    <w:abstractNumId w:val="3"/>
  </w:num>
  <w:num w:numId="9">
    <w:abstractNumId w:val="9"/>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169F"/>
    <w:rsid w:val="001B15EE"/>
    <w:rsid w:val="002A4920"/>
    <w:rsid w:val="003414F7"/>
    <w:rsid w:val="004573DF"/>
    <w:rsid w:val="004946F5"/>
    <w:rsid w:val="004A0875"/>
    <w:rsid w:val="004F592A"/>
    <w:rsid w:val="00503E4C"/>
    <w:rsid w:val="005F04C5"/>
    <w:rsid w:val="0066169F"/>
    <w:rsid w:val="006A2416"/>
    <w:rsid w:val="006B5F46"/>
    <w:rsid w:val="0070583D"/>
    <w:rsid w:val="00706129"/>
    <w:rsid w:val="007704D6"/>
    <w:rsid w:val="007A141A"/>
    <w:rsid w:val="0091705D"/>
    <w:rsid w:val="00AC230A"/>
    <w:rsid w:val="00D26CF8"/>
    <w:rsid w:val="00DC290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9F"/>
  </w:style>
  <w:style w:type="paragraph" w:styleId="Heading1">
    <w:name w:val="heading 1"/>
    <w:basedOn w:val="Normal"/>
    <w:next w:val="Normal"/>
    <w:link w:val="Heading1Char"/>
    <w:uiPriority w:val="9"/>
    <w:qFormat/>
    <w:rsid w:val="004A0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14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14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A0875"/>
    <w:pPr>
      <w:keepNext/>
      <w:widowControl w:val="0"/>
      <w:tabs>
        <w:tab w:val="center" w:pos="4154"/>
        <w:tab w:val="right" w:pos="8309"/>
      </w:tabs>
      <w:spacing w:after="0" w:line="240" w:lineRule="auto"/>
      <w:ind w:left="2155"/>
      <w:jc w:val="center"/>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8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0875"/>
  </w:style>
  <w:style w:type="paragraph" w:styleId="Footer">
    <w:name w:val="footer"/>
    <w:basedOn w:val="Normal"/>
    <w:link w:val="FooterChar"/>
    <w:uiPriority w:val="99"/>
    <w:semiHidden/>
    <w:unhideWhenUsed/>
    <w:rsid w:val="004A08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0875"/>
  </w:style>
  <w:style w:type="character" w:customStyle="1" w:styleId="Heading4Char">
    <w:name w:val="Heading 4 Char"/>
    <w:basedOn w:val="DefaultParagraphFont"/>
    <w:link w:val="Heading4"/>
    <w:rsid w:val="004A0875"/>
    <w:rPr>
      <w:rFonts w:ascii="Times New Roman" w:eastAsia="Times New Roman" w:hAnsi="Times New Roman" w:cs="Times New Roman"/>
      <w:b/>
      <w:szCs w:val="20"/>
    </w:rPr>
  </w:style>
  <w:style w:type="character" w:styleId="Hyperlink">
    <w:name w:val="Hyperlink"/>
    <w:basedOn w:val="DefaultParagraphFont"/>
    <w:uiPriority w:val="99"/>
    <w:unhideWhenUsed/>
    <w:rsid w:val="004A0875"/>
    <w:rPr>
      <w:color w:val="0000FF" w:themeColor="hyperlink"/>
      <w:u w:val="single"/>
    </w:rPr>
  </w:style>
  <w:style w:type="character" w:customStyle="1" w:styleId="Heading1Char">
    <w:name w:val="Heading 1 Char"/>
    <w:basedOn w:val="DefaultParagraphFont"/>
    <w:link w:val="Heading1"/>
    <w:uiPriority w:val="9"/>
    <w:rsid w:val="004A08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14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141A"/>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7A1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141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7A14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hc.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Lindsay</dc:creator>
  <cp:lastModifiedBy>Alexandra Sophia Wawryk</cp:lastModifiedBy>
  <cp:revision>2</cp:revision>
  <dcterms:created xsi:type="dcterms:W3CDTF">2013-05-09T00:09:00Z</dcterms:created>
  <dcterms:modified xsi:type="dcterms:W3CDTF">2013-05-09T00:09:00Z</dcterms:modified>
</cp:coreProperties>
</file>